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附件2</w:t>
      </w:r>
    </w:p>
    <w:p>
      <w:pPr>
        <w:spacing w:afterLines="50" w:line="560" w:lineRule="atLeast"/>
        <w:jc w:val="center"/>
        <w:rPr>
          <w:rFonts w:ascii="方正小标宋简体" w:hAnsi="华文中宋" w:eastAsia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color w:val="000000"/>
          <w:sz w:val="36"/>
          <w:szCs w:val="36"/>
        </w:rPr>
        <w:t>行业协会商会脱钩改革单位完成情况表</w:t>
      </w:r>
    </w:p>
    <w:bookmarkEnd w:id="0"/>
    <w:p>
      <w:pPr>
        <w:jc w:val="center"/>
        <w:rPr>
          <w:rFonts w:ascii="仿宋_GB2312" w:hAnsi="仿宋" w:eastAsia="仿宋_GB2312" w:cs="楷体"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 w:cs="楷体"/>
          <w:bCs/>
          <w:color w:val="000000"/>
          <w:sz w:val="28"/>
          <w:szCs w:val="28"/>
        </w:rPr>
        <w:t>(参加脱钩的行业协会商会填写、业务主管单位审核）</w:t>
      </w:r>
    </w:p>
    <w:p>
      <w:pPr>
        <w:jc w:val="center"/>
        <w:rPr>
          <w:rFonts w:ascii="仿宋_GB2312" w:hAnsi="楷体" w:eastAsia="仿宋_GB2312" w:cs="楷体"/>
          <w:bCs/>
          <w:color w:val="000000"/>
          <w:sz w:val="28"/>
          <w:szCs w:val="28"/>
        </w:rPr>
      </w:pPr>
    </w:p>
    <w:p>
      <w:pPr>
        <w:rPr>
          <w:rFonts w:ascii="仿宋_GB2312" w:hAnsi="仿宋" w:eastAsia="仿宋_GB2312"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填 表 单 位（盖 章）：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填表人：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电话：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 xml:space="preserve">   </w:t>
      </w:r>
    </w:p>
    <w:p>
      <w:pPr>
        <w:jc w:val="left"/>
        <w:rPr>
          <w:rFonts w:ascii="仿宋_GB2312" w:hAnsi="仿宋" w:eastAsia="仿宋_GB2312"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业务主管单位（盖章）：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联系人：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电话：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 xml:space="preserve">   </w:t>
      </w:r>
    </w:p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（一）基本信息情况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2584"/>
        <w:gridCol w:w="1426"/>
        <w:gridCol w:w="3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 xml:space="preserve">名称      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法定代表人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理事长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秘书长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住所地址</w:t>
            </w:r>
          </w:p>
        </w:tc>
        <w:tc>
          <w:tcPr>
            <w:tcW w:w="7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（二）机构分离情况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6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代管事业单位的脱钩情况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□不涉及此事项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□并入行业协会商会，核销事业编制（     ）个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□划转（           ）管理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□未完成脱钩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与其他行业协会商会、社会组织代管协管挂靠关系的脱钩情况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□不涉及此事项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□按自愿互惠原则进行调整，并纳入章程予以规范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□未完成脱钩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与行政机关或者事业单位合署办公的脱钩情况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□不涉及此事项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□继续使用，但签署租赁合同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□分离后单独租赁办公用房，地址：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□分离后单独购买办公用房，地址：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□未完成脱钩</w:t>
            </w: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（三）职能分离情况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6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法律法规规定情形之外行业协会商会行使行政职能的脱钩情况</w:t>
            </w:r>
          </w:p>
        </w:tc>
        <w:tc>
          <w:tcPr>
            <w:tcW w:w="6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□不涉及此事项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□已移交有关部门（   ）项，分别为：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□未完成移交（   ）项，分别为：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脱钩后有关部门向行业协会商会转移职能和事项</w:t>
            </w:r>
          </w:p>
        </w:tc>
        <w:tc>
          <w:tcPr>
            <w:tcW w:w="6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共转移（    ）项职能和事项，具体清单目录为：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……</w:t>
            </w: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（四）资产财务分离情况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018"/>
        <w:gridCol w:w="1870"/>
        <w:gridCol w:w="2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脱钩后执行会计制度情况</w:t>
            </w: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 xml:space="preserve">□《民间非营利组织会计制度》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□其他会计制度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脱钩后单独开立银行账户情况</w:t>
            </w: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□不涉及此事项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□单独开立账户，开户行、开户名称及账号为：（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□未单独开立账户，与何单位共用（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脱钩后单独建账、独立核算情况</w:t>
            </w: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□不涉及此事项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□已单独建账、独立核算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□未单独建账、独立核算，账务挂靠在何单位（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脱钩后财政预算资金处理方式</w:t>
            </w: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□不涉及此事项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□预算资金额度（  ）万元，具体处理方式（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脱钩后承接政府购买服务情况</w:t>
            </w: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□未承接政府购买服务事项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□承接政府购买服务事项（   ）项，资金（  ）万元，具体清单目录为：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使用行政办公用房脱钩情况</w:t>
            </w: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□不涉及此事项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□符合核定面积（     ）</w:t>
            </w:r>
            <w:r>
              <w:rPr>
                <w:rFonts w:hint="eastAsia" w:ascii="仿宋_GB2312" w:hAnsi="仿宋" w:eastAsia="仿宋" w:cs="Arial"/>
                <w:bCs/>
                <w:color w:val="000000"/>
                <w:szCs w:val="21"/>
              </w:rPr>
              <w:t>㎡</w:t>
            </w:r>
            <w:r>
              <w:rPr>
                <w:rFonts w:hint="eastAsia" w:ascii="仿宋_GB2312" w:hAnsi="仿宋" w:eastAsia="仿宋_GB2312" w:cs="Arial"/>
                <w:bCs/>
                <w:color w:val="000000"/>
                <w:szCs w:val="21"/>
              </w:rPr>
              <w:t>，脱钩后具体处理方式（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</w:t>
            </w:r>
            <w:r>
              <w:rPr>
                <w:rFonts w:hint="eastAsia" w:ascii="仿宋_GB2312" w:hAnsi="仿宋" w:eastAsia="仿宋_GB2312" w:cs="Arial"/>
                <w:bCs/>
                <w:color w:val="000000"/>
                <w:szCs w:val="21"/>
              </w:rPr>
              <w:t>清理腾退超出核定面积（     ）</w:t>
            </w:r>
            <w:r>
              <w:rPr>
                <w:rFonts w:hint="eastAsia" w:ascii="仿宋_GB2312" w:hAnsi="仿宋" w:eastAsia="仿宋" w:cs="Arial"/>
                <w:bCs/>
                <w:color w:val="000000"/>
                <w:szCs w:val="21"/>
              </w:rPr>
              <w:t>㎡</w:t>
            </w:r>
            <w:r>
              <w:rPr>
                <w:rFonts w:hint="eastAsia" w:ascii="仿宋_GB2312" w:hAnsi="仿宋" w:eastAsia="仿宋_GB2312" w:cs="Arial"/>
                <w:bCs/>
                <w:color w:val="000000"/>
                <w:szCs w:val="21"/>
              </w:rPr>
              <w:t>，签订书面移交协议（</w:t>
            </w: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□是□否</w:t>
            </w:r>
            <w:r>
              <w:rPr>
                <w:rFonts w:hint="eastAsia" w:ascii="仿宋_GB2312" w:hAnsi="仿宋" w:eastAsia="仿宋_GB2312" w:cs="Arial"/>
                <w:bCs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脱钩后固定资产</w:t>
            </w:r>
          </w:p>
        </w:tc>
        <w:tc>
          <w:tcPr>
            <w:tcW w:w="2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Arial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国有（  ）万元</w:t>
            </w:r>
          </w:p>
        </w:tc>
        <w:tc>
          <w:tcPr>
            <w:tcW w:w="18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脱钩后流动资产</w:t>
            </w:r>
          </w:p>
        </w:tc>
        <w:tc>
          <w:tcPr>
            <w:tcW w:w="29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国有（  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2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其他（  ）万元</w:t>
            </w:r>
          </w:p>
        </w:tc>
        <w:tc>
          <w:tcPr>
            <w:tcW w:w="1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29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其他（  ）万元</w:t>
            </w: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（五）人员管理分离情况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607"/>
        <w:gridCol w:w="524"/>
        <w:gridCol w:w="2585"/>
        <w:gridCol w:w="1605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现职和不担任现职但未办理退（离）休手续的公务员在行业协会商会兼职任职的脱钩情况</w:t>
            </w:r>
          </w:p>
        </w:tc>
        <w:tc>
          <w:tcPr>
            <w:tcW w:w="6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□不涉及此事项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6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脱钩后退出行业协会商会工作（  ）人次，其中省级领导（  ）人次、厅局级（  ）人次，其他（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6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脱钩后留在行业协会商会工作，退出公务员管理（ ）人次，其中省级领导（  ）人次、厅局级（  ）人次，其他（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领导干部退（离）休未满三年在行业协会商会兼职的脱钩情况</w:t>
            </w:r>
          </w:p>
        </w:tc>
        <w:tc>
          <w:tcPr>
            <w:tcW w:w="6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□不涉及此事项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脱钩后退出兼任职（  ）人次，其中省级领导（  ）人次、厅局级（  ）人次，其他（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6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脱钩后，继续兼任职（  ）人次，其中省级领导（  ）人次、厅局级（  ）人次，其他（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事业编制脱钩情况</w:t>
            </w:r>
          </w:p>
        </w:tc>
        <w:tc>
          <w:tcPr>
            <w:tcW w:w="6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□不涉及此事项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□脱钩后核销事业编制（  ）个，保留事业编制（ ）个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现职和不担任现职但未办理退（离）休手续的公务员情况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兼任行业协会</w:t>
            </w:r>
          </w:p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商会职务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姓  名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单  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职  务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退（离）休未满三年的领导干部情况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兼任行业协会商会职务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姓 名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原单位和职务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退（离）休时间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（六）党建分离情况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1965"/>
        <w:gridCol w:w="2247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党组织建立情况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党员人数</w:t>
            </w:r>
          </w:p>
        </w:tc>
        <w:tc>
          <w:tcPr>
            <w:tcW w:w="4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党的关系归口管理部门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脱钩前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□党委</w:t>
            </w:r>
          </w:p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□党总支</w:t>
            </w:r>
          </w:p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□党支部</w:t>
            </w:r>
          </w:p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□临时党组织</w:t>
            </w:r>
          </w:p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□联合党支部</w:t>
            </w:r>
          </w:p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□未建立党组织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（七）外事分离情况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6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外事审批权脱钩情况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□不涉及此事项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□取消外事审批权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□继续保留外事审批权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脱钩前外事管理机关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脱钩后外事管理机关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（八）举办报纸期刊杂志情况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3"/>
        <w:gridCol w:w="1367"/>
        <w:gridCol w:w="1367"/>
        <w:gridCol w:w="1299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名  称</w:t>
            </w: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 xml:space="preserve">刊号      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主管单位</w:t>
            </w:r>
          </w:p>
        </w:tc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7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</w:t>
            </w:r>
          </w:p>
        </w:tc>
        <w:tc>
          <w:tcPr>
            <w:tcW w:w="12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脱钩前</w:t>
            </w:r>
          </w:p>
        </w:tc>
        <w:tc>
          <w:tcPr>
            <w:tcW w:w="18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rPr>
          <w:rFonts w:ascii="宋体" w:hAnsi="宋体"/>
          <w:b/>
          <w:color w:val="000000"/>
          <w:szCs w:val="21"/>
        </w:rPr>
      </w:pPr>
    </w:p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（九）联系挂靠关系取消情况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3781"/>
        <w:gridCol w:w="3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1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与其他行政机关或参公管理单位的联系挂靠关系取消情况</w:t>
            </w:r>
          </w:p>
        </w:tc>
        <w:tc>
          <w:tcPr>
            <w:tcW w:w="68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□不涉及此事项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涉及联系挂靠单位的脱钩事项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3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3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3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3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3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3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37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  <w:tc>
          <w:tcPr>
            <w:tcW w:w="3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（十）脱钩后变更登记和备案手续办理情况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875"/>
        <w:gridCol w:w="4845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脱钩后业务范围</w:t>
            </w:r>
          </w:p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是否发生变化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否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如选是，是否按法定程序办理变更登记手续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脱钩后住所</w:t>
            </w:r>
          </w:p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是否有变化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否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如选是，是否按法定程序办理变更登记手续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脱钩后注册资金</w:t>
            </w:r>
          </w:p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是否发生变化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否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如选是，是否按法定程序办理变更登记手续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脱钩后法定代表人是否发生变动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否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如选是，是否按法定程序办理变更登记手续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脱钩后章程</w:t>
            </w:r>
          </w:p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是否修改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否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如选是，是否按法定程序办理章程核准手续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脱钩后负责人</w:t>
            </w:r>
          </w:p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是否发生变动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否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如选是，是否按法定程序办理变更备案手续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□ 否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r>
        <w:rPr>
          <w:color w:val="00000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B70A5"/>
    <w:rsid w:val="574B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2019-11-06T07:59:00Z</dcterms:created>
  <dc:creator>LENOVO</dc:creator>
  <cp:lastModifiedBy>LENOVO</cp:lastModifiedBy>
  <dcterms:modified xsi:type="dcterms:W3CDTF">2019-11-06T08:00:48Z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